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drawing>
          <wp:inline distB="0" distT="0" distL="0" distR="0">
            <wp:extent cx="1057910" cy="600710"/>
            <wp:effectExtent b="0" l="0" r="0" t="0"/>
            <wp:docPr descr="C:\Users\KHOAEANE\Pictures\image002.jpg" id="1" name="image1.jpg"/>
            <a:graphic>
              <a:graphicData uri="http://schemas.openxmlformats.org/drawingml/2006/picture">
                <pic:pic>
                  <pic:nvPicPr>
                    <pic:cNvPr descr="C:\Users\KHOAEANE\Pictures\image002.jpg" id="0" name="image1.jpg"/>
                    <pic:cNvPicPr preferRelativeResize="0"/>
                  </pic:nvPicPr>
                  <pic:blipFill>
                    <a:blip r:embed="rId6"/>
                    <a:srcRect b="0" l="0" r="0" t="0"/>
                    <a:stretch>
                      <a:fillRect/>
                    </a:stretch>
                  </pic:blipFill>
                  <pic:spPr>
                    <a:xfrm>
                      <a:off x="0" y="0"/>
                      <a:ext cx="1057910" cy="600710"/>
                    </a:xfrm>
                    <a:prstGeom prst="rect"/>
                    <a:ln/>
                  </pic:spPr>
                </pic:pic>
              </a:graphicData>
            </a:graphic>
          </wp:inline>
        </w:drawing>
      </w:r>
      <w:r w:rsidDel="00000000" w:rsidR="00000000" w:rsidRPr="00000000">
        <w:rPr>
          <w:rtl w:val="0"/>
        </w:rPr>
        <w:tab/>
        <w:tab/>
        <w:tab/>
        <w:tab/>
        <w:tab/>
        <w:tab/>
        <w:tab/>
      </w:r>
      <w:r w:rsidDel="00000000" w:rsidR="00000000" w:rsidRPr="00000000">
        <w:rPr/>
        <w:drawing>
          <wp:inline distB="0" distT="0" distL="114300" distR="114300">
            <wp:extent cx="1549400" cy="6159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49400" cy="615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Terms of Reference: Review and update  the Accelerated Action on Health of Adolescents (AA-HA) Implementation Plan  and  Development of  2025 Adolescent Health Annual Work Plan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tbl>
      <w:tblPr>
        <w:tblStyle w:val="Table1"/>
        <w:tblW w:w="10530.0" w:type="dxa"/>
        <w:jc w:val="left"/>
        <w:tblInd w:w="-245.0" w:type="dxa"/>
        <w:tblLayout w:type="fixed"/>
        <w:tblLook w:val="0000"/>
      </w:tblPr>
      <w:tblGrid>
        <w:gridCol w:w="2430"/>
        <w:gridCol w:w="8100"/>
        <w:tblGridChange w:id="0">
          <w:tblGrid>
            <w:gridCol w:w="2430"/>
            <w:gridCol w:w="8100"/>
          </w:tblGrid>
        </w:tblGridChange>
      </w:tblGrid>
      <w:tr>
        <w:trPr>
          <w:cantSplit w:val="0"/>
          <w:trHeight w:val="216" w:hRule="atLeast"/>
          <w:tblHeader w:val="0"/>
        </w:trPr>
        <w:tc>
          <w:tcPr>
            <w:gridSpan w:val="2"/>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006">
            <w:pPr>
              <w:tabs>
                <w:tab w:val="left" w:leader="none" w:pos="-720"/>
              </w:tabs>
              <w:spacing w:line="240" w:lineRule="auto"/>
              <w:jc w:val="both"/>
              <w:rPr/>
            </w:pPr>
            <w:r w:rsidDel="00000000" w:rsidR="00000000" w:rsidRPr="00000000">
              <w:rPr>
                <w:rtl w:val="0"/>
              </w:rPr>
              <w:t xml:space="preserve">TERMS OF REFERENCE </w:t>
            </w:r>
          </w:p>
        </w:tc>
      </w:tr>
      <w:tr>
        <w:trPr>
          <w:cantSplit w:val="0"/>
          <w:tblHeader w:val="0"/>
        </w:trPr>
        <w:tc>
          <w:tcPr>
            <w:tcBorders>
              <w:top w:color="000000" w:space="0" w:sz="6" w:val="single"/>
              <w:left w:color="000000" w:space="0" w:sz="6" w:val="single"/>
              <w:bottom w:color="000000" w:space="0" w:sz="4" w:val="single"/>
            </w:tcBorders>
            <w:shd w:fill="auto" w:val="clear"/>
            <w:tcMar>
              <w:left w:w="148.0" w:type="dxa"/>
              <w:right w:w="148.0" w:type="dxa"/>
            </w:tcMar>
          </w:tcPr>
          <w:p w:rsidR="00000000" w:rsidDel="00000000" w:rsidP="00000000" w:rsidRDefault="00000000" w:rsidRPr="00000000" w14:paraId="00000008">
            <w:pPr>
              <w:tabs>
                <w:tab w:val="left" w:leader="none" w:pos="-720"/>
              </w:tabs>
              <w:spacing w:line="240" w:lineRule="auto"/>
              <w:jc w:val="both"/>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shd w:fill="auto" w:val="clear"/>
            <w:tcMar>
              <w:left w:w="148.0" w:type="dxa"/>
              <w:right w:w="148.0" w:type="dxa"/>
            </w:tcMar>
          </w:tcPr>
          <w:p w:rsidR="00000000" w:rsidDel="00000000" w:rsidP="00000000" w:rsidRDefault="00000000" w:rsidRPr="00000000" w14:paraId="00000009">
            <w:pPr>
              <w:tabs>
                <w:tab w:val="left" w:leader="none" w:pos="-720"/>
              </w:tabs>
              <w:spacing w:line="240" w:lineRule="auto"/>
              <w:jc w:val="both"/>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0A">
            <w:pPr>
              <w:tabs>
                <w:tab w:val="left" w:leader="none" w:pos="-720"/>
              </w:tabs>
              <w:spacing w:line="240" w:lineRule="auto"/>
              <w:jc w:val="both"/>
              <w:rPr/>
            </w:pPr>
            <w:r w:rsidDel="00000000" w:rsidR="00000000" w:rsidRPr="00000000">
              <w:rPr>
                <w:rtl w:val="0"/>
              </w:rPr>
              <w:t xml:space="preserve">Background: </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0B">
            <w:pPr>
              <w:spacing w:line="240" w:lineRule="auto"/>
              <w:jc w:val="both"/>
              <w:rPr/>
            </w:pPr>
            <w:r w:rsidDel="00000000" w:rsidR="00000000" w:rsidRPr="00000000">
              <w:rPr>
                <w:rtl w:val="0"/>
              </w:rPr>
              <w:t xml:space="preserve">The </w:t>
            </w:r>
            <w:r w:rsidDel="00000000" w:rsidR="00000000" w:rsidRPr="00000000">
              <w:rPr>
                <w:rtl w:val="0"/>
              </w:rPr>
              <w:t xml:space="preserve">kingdom of Lesotho</w:t>
            </w:r>
            <w:r w:rsidDel="00000000" w:rsidR="00000000" w:rsidRPr="00000000">
              <w:rPr>
                <w:rtl w:val="0"/>
              </w:rPr>
              <w:t xml:space="preserve"> is committed to creating a brighter future for its adolescents and young people. This is demonstrated by its legal and policy environment that commits to empowering youth and promoting their health and well being. The government has also been intentional in aligning itself with progressive global and regional commitments aimed at championing the health and well being of young people.</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In 2013, the Kingdom of Lesotho was part of the 20 countries in East and Southern Africa that endorsed a regional ministerial commitment to advance the health and wellbeing of adolescents and young people. Furthermore, the government aligned itself with the 2017 UN initiative on Accelerated Action for the health of Adolescents (AA- HA).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In 2022, the government  of Lesotho, under the leadership of the Ministry of Health developed an implementation plan to domesticate the AA-HA. The plan was to be a common reference point for the delivery of health and well being of young people. The plan was informed by the national landscape and the global guidance from AA-HA and also informed by the renewed ESA Ministerial Commitment on education, health and wellbeing of adolescents (2022-2030).</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Since the national implementation plan was concluded, there has been a number of developments that require to be reflected upon. First, the adolescent landscape has been evolving. Second, global leadership has also been shifting. For instance, in 2023 the  global revision of the guidance on AA-HA necessitates national reflection on how best to integrate the latest thinking.  It is against this background that UNFPA is seeking a consultant to review progress in implementation of the 2022 national plan and also to draft a 2025 national work plan.</w:t>
            </w:r>
          </w:p>
          <w:p w:rsidR="00000000" w:rsidDel="00000000" w:rsidP="00000000" w:rsidRDefault="00000000" w:rsidRPr="00000000" w14:paraId="00000012">
            <w:pPr>
              <w:spacing w:line="240" w:lineRule="auto"/>
              <w:jc w:val="both"/>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13">
            <w:pPr>
              <w:tabs>
                <w:tab w:val="left" w:leader="none" w:pos="-720"/>
              </w:tabs>
              <w:spacing w:line="240" w:lineRule="auto"/>
              <w:jc w:val="both"/>
              <w:rPr/>
            </w:pPr>
            <w:r w:rsidDel="00000000" w:rsidR="00000000" w:rsidRPr="00000000">
              <w:rPr>
                <w:rtl w:val="0"/>
              </w:rPr>
              <w:t xml:space="preserve">Purpose:</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14">
            <w:pPr>
              <w:spacing w:line="240" w:lineRule="auto"/>
              <w:jc w:val="both"/>
              <w:rPr/>
            </w:pPr>
            <w:r w:rsidDel="00000000" w:rsidR="00000000" w:rsidRPr="00000000">
              <w:rPr>
                <w:rtl w:val="0"/>
              </w:rPr>
              <w:t xml:space="preserve">The purpose of this consultancy is two fold. First,  to review the implementation of the  Lesotho Accelerated Action on Health of Adolescents 2021  Plan. Second, to develop a revised implementation plan and a detailed annual work plan for 2025. </w:t>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15">
            <w:pPr>
              <w:tabs>
                <w:tab w:val="left" w:leader="none" w:pos="-720"/>
              </w:tabs>
              <w:spacing w:line="240" w:lineRule="auto"/>
              <w:jc w:val="both"/>
              <w:rPr/>
            </w:pPr>
            <w:r w:rsidDel="00000000" w:rsidR="00000000" w:rsidRPr="00000000">
              <w:rPr>
                <w:rtl w:val="0"/>
              </w:rPr>
              <w:t xml:space="preserve">Scope of work:</w:t>
            </w:r>
          </w:p>
          <w:p w:rsidR="00000000" w:rsidDel="00000000" w:rsidP="00000000" w:rsidRDefault="00000000" w:rsidRPr="00000000" w14:paraId="00000016">
            <w:pPr>
              <w:tabs>
                <w:tab w:val="left" w:leader="none" w:pos="-720"/>
              </w:tabs>
              <w:spacing w:line="240" w:lineRule="auto"/>
              <w:jc w:val="both"/>
              <w:rPr/>
            </w:pPr>
            <w:r w:rsidDel="00000000" w:rsidR="00000000" w:rsidRPr="00000000">
              <w:rPr>
                <w:rtl w:val="0"/>
              </w:rPr>
            </w:r>
          </w:p>
          <w:p w:rsidR="00000000" w:rsidDel="00000000" w:rsidP="00000000" w:rsidRDefault="00000000" w:rsidRPr="00000000" w14:paraId="00000017">
            <w:pPr>
              <w:tabs>
                <w:tab w:val="left" w:leader="none" w:pos="-720"/>
              </w:tabs>
              <w:spacing w:line="240" w:lineRule="auto"/>
              <w:jc w:val="both"/>
              <w:rPr/>
            </w:pPr>
            <w:r w:rsidDel="00000000" w:rsidR="00000000" w:rsidRPr="00000000">
              <w:rPr>
                <w:rtl w:val="0"/>
              </w:rPr>
              <w:t xml:space="preserve">(Description of services, activities, or outputs)</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18">
            <w:pPr>
              <w:spacing w:line="240" w:lineRule="auto"/>
              <w:jc w:val="both"/>
              <w:rPr/>
            </w:pPr>
            <w:r w:rsidDel="00000000" w:rsidR="00000000" w:rsidRPr="00000000">
              <w:rPr>
                <w:rtl w:val="0"/>
              </w:rPr>
              <w:t xml:space="preserve">Scope of Work</w:t>
            </w:r>
          </w:p>
          <w:p w:rsidR="00000000" w:rsidDel="00000000" w:rsidP="00000000" w:rsidRDefault="00000000" w:rsidRPr="00000000" w14:paraId="00000019">
            <w:pPr>
              <w:spacing w:line="240" w:lineRule="auto"/>
              <w:jc w:val="both"/>
              <w:rPr/>
            </w:pPr>
            <w:r w:rsidDel="00000000" w:rsidR="00000000" w:rsidRPr="00000000">
              <w:rPr>
                <w:rtl w:val="0"/>
              </w:rPr>
              <w:t xml:space="preserve">The consultant will be expected to undertake a number of interrelated activities. First, to </w:t>
            </w:r>
          </w:p>
          <w:p w:rsidR="00000000" w:rsidDel="00000000" w:rsidP="00000000" w:rsidRDefault="00000000" w:rsidRPr="00000000" w14:paraId="0000001A">
            <w:pPr>
              <w:numPr>
                <w:ilvl w:val="0"/>
                <w:numId w:val="7"/>
              </w:numPr>
              <w:spacing w:line="240" w:lineRule="auto"/>
              <w:ind w:left="720" w:hanging="360"/>
              <w:jc w:val="both"/>
              <w:rPr>
                <w:u w:val="none"/>
              </w:rPr>
            </w:pPr>
            <w:r w:rsidDel="00000000" w:rsidR="00000000" w:rsidRPr="00000000">
              <w:rPr>
                <w:b w:val="1"/>
                <w:rtl w:val="0"/>
              </w:rPr>
              <w:t xml:space="preserve">Develop an inception report</w:t>
            </w:r>
            <w:r w:rsidDel="00000000" w:rsidR="00000000" w:rsidRPr="00000000">
              <w:rPr>
                <w:rtl w:val="0"/>
              </w:rPr>
              <w:t xml:space="preserve">. This will be limited to 15 pages excluding annexures. The report will cover the following:</w:t>
            </w:r>
          </w:p>
          <w:p w:rsidR="00000000" w:rsidDel="00000000" w:rsidP="00000000" w:rsidRDefault="00000000" w:rsidRPr="00000000" w14:paraId="0000001B">
            <w:pPr>
              <w:numPr>
                <w:ilvl w:val="1"/>
                <w:numId w:val="7"/>
              </w:numPr>
              <w:spacing w:line="240" w:lineRule="auto"/>
              <w:ind w:left="1440" w:hanging="360"/>
              <w:jc w:val="both"/>
              <w:rPr>
                <w:u w:val="none"/>
              </w:rPr>
            </w:pPr>
            <w:r w:rsidDel="00000000" w:rsidR="00000000" w:rsidRPr="00000000">
              <w:rPr>
                <w:rtl w:val="0"/>
              </w:rPr>
              <w:t xml:space="preserve">The state of adolescent health and well  in the country. </w:t>
            </w:r>
          </w:p>
          <w:p w:rsidR="00000000" w:rsidDel="00000000" w:rsidP="00000000" w:rsidRDefault="00000000" w:rsidRPr="00000000" w14:paraId="0000001C">
            <w:pPr>
              <w:numPr>
                <w:ilvl w:val="1"/>
                <w:numId w:val="7"/>
              </w:numPr>
              <w:spacing w:line="240" w:lineRule="auto"/>
              <w:ind w:left="1440" w:hanging="360"/>
              <w:jc w:val="both"/>
              <w:rPr>
                <w:u w:val="none"/>
              </w:rPr>
            </w:pPr>
            <w:r w:rsidDel="00000000" w:rsidR="00000000" w:rsidRPr="00000000">
              <w:rPr>
                <w:rtl w:val="0"/>
              </w:rPr>
              <w:t xml:space="preserve">Key implements of the AA-HA national plan</w:t>
            </w:r>
          </w:p>
          <w:p w:rsidR="00000000" w:rsidDel="00000000" w:rsidP="00000000" w:rsidRDefault="00000000" w:rsidRPr="00000000" w14:paraId="0000001D">
            <w:pPr>
              <w:numPr>
                <w:ilvl w:val="1"/>
                <w:numId w:val="7"/>
              </w:numPr>
              <w:spacing w:line="240" w:lineRule="auto"/>
              <w:ind w:left="1440" w:hanging="360"/>
              <w:jc w:val="both"/>
              <w:rPr>
                <w:u w:val="none"/>
              </w:rPr>
            </w:pPr>
            <w:r w:rsidDel="00000000" w:rsidR="00000000" w:rsidRPr="00000000">
              <w:rPr>
                <w:rtl w:val="0"/>
              </w:rPr>
              <w:t xml:space="preserve">Literature review on national and global changes that necessitates new thinking</w:t>
            </w:r>
          </w:p>
          <w:p w:rsidR="00000000" w:rsidDel="00000000" w:rsidP="00000000" w:rsidRDefault="00000000" w:rsidRPr="00000000" w14:paraId="0000001E">
            <w:pPr>
              <w:numPr>
                <w:ilvl w:val="1"/>
                <w:numId w:val="7"/>
              </w:numPr>
              <w:spacing w:line="240" w:lineRule="auto"/>
              <w:ind w:left="1440" w:hanging="360"/>
              <w:jc w:val="both"/>
              <w:rPr>
                <w:u w:val="none"/>
              </w:rPr>
            </w:pPr>
            <w:r w:rsidDel="00000000" w:rsidR="00000000" w:rsidRPr="00000000">
              <w:rPr>
                <w:rtl w:val="0"/>
              </w:rPr>
              <w:t xml:space="preserve">Methodology for for reviewing the the implementation Plan</w:t>
            </w:r>
          </w:p>
          <w:p w:rsidR="00000000" w:rsidDel="00000000" w:rsidP="00000000" w:rsidRDefault="00000000" w:rsidRPr="00000000" w14:paraId="0000001F">
            <w:pPr>
              <w:numPr>
                <w:ilvl w:val="1"/>
                <w:numId w:val="7"/>
              </w:numPr>
              <w:spacing w:line="240" w:lineRule="auto"/>
              <w:ind w:left="1440" w:hanging="360"/>
              <w:jc w:val="both"/>
              <w:rPr>
                <w:u w:val="none"/>
              </w:rPr>
            </w:pPr>
            <w:r w:rsidDel="00000000" w:rsidR="00000000" w:rsidRPr="00000000">
              <w:rPr>
                <w:rtl w:val="0"/>
              </w:rPr>
              <w:t xml:space="preserve">Tools for collecting data.</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numPr>
                <w:ilvl w:val="0"/>
                <w:numId w:val="7"/>
              </w:numPr>
              <w:spacing w:line="240" w:lineRule="auto"/>
              <w:ind w:left="720" w:hanging="360"/>
              <w:jc w:val="both"/>
              <w:rPr>
                <w:b w:val="1"/>
              </w:rPr>
            </w:pPr>
            <w:r w:rsidDel="00000000" w:rsidR="00000000" w:rsidRPr="00000000">
              <w:rPr>
                <w:b w:val="1"/>
                <w:rtl w:val="0"/>
              </w:rPr>
              <w:t xml:space="preserve">Develop a response analysis and lessons learnt</w:t>
            </w:r>
          </w:p>
          <w:p w:rsidR="00000000" w:rsidDel="00000000" w:rsidP="00000000" w:rsidRDefault="00000000" w:rsidRPr="00000000" w14:paraId="00000022">
            <w:pPr>
              <w:spacing w:line="240" w:lineRule="auto"/>
              <w:jc w:val="both"/>
              <w:rPr/>
            </w:pPr>
            <w:r w:rsidDel="00000000" w:rsidR="00000000" w:rsidRPr="00000000">
              <w:rPr>
                <w:rtl w:val="0"/>
              </w:rPr>
              <w:t xml:space="preserve">The consultant will develop a report not exceeding 25 pages  to clearly demonstrate how the AA-HA Plan has been implemented by different stakeholders and also to articulate lessons learnt.</w:t>
            </w:r>
          </w:p>
          <w:p w:rsidR="00000000" w:rsidDel="00000000" w:rsidP="00000000" w:rsidRDefault="00000000" w:rsidRPr="00000000" w14:paraId="00000023">
            <w:pPr>
              <w:spacing w:line="240" w:lineRule="auto"/>
              <w:jc w:val="both"/>
              <w:rPr/>
            </w:pPr>
            <w:r w:rsidDel="00000000" w:rsidR="00000000" w:rsidRPr="00000000">
              <w:rPr>
                <w:rtl w:val="0"/>
              </w:rPr>
              <w:t xml:space="preserve">The section on the review will address among others things the following:</w:t>
            </w:r>
          </w:p>
          <w:p w:rsidR="00000000" w:rsidDel="00000000" w:rsidP="00000000" w:rsidRDefault="00000000" w:rsidRPr="00000000" w14:paraId="00000024">
            <w:pPr>
              <w:numPr>
                <w:ilvl w:val="0"/>
                <w:numId w:val="5"/>
              </w:numPr>
              <w:spacing w:line="240" w:lineRule="auto"/>
              <w:ind w:left="720" w:hanging="360"/>
              <w:jc w:val="both"/>
              <w:rPr>
                <w:u w:val="none"/>
              </w:rPr>
            </w:pPr>
            <w:r w:rsidDel="00000000" w:rsidR="00000000" w:rsidRPr="00000000">
              <w:rPr>
                <w:rtl w:val="0"/>
              </w:rPr>
              <w:t xml:space="preserve">Progress in implementation</w:t>
            </w:r>
          </w:p>
          <w:p w:rsidR="00000000" w:rsidDel="00000000" w:rsidP="00000000" w:rsidRDefault="00000000" w:rsidRPr="00000000" w14:paraId="00000025">
            <w:pPr>
              <w:numPr>
                <w:ilvl w:val="0"/>
                <w:numId w:val="5"/>
              </w:numPr>
              <w:spacing w:line="240" w:lineRule="auto"/>
              <w:ind w:left="720" w:hanging="360"/>
              <w:jc w:val="both"/>
              <w:rPr>
                <w:u w:val="none"/>
              </w:rPr>
            </w:pPr>
            <w:r w:rsidDel="00000000" w:rsidR="00000000" w:rsidRPr="00000000">
              <w:rPr>
                <w:rtl w:val="0"/>
              </w:rPr>
              <w:t xml:space="preserve">How well has the coordination been?</w:t>
            </w:r>
          </w:p>
          <w:p w:rsidR="00000000" w:rsidDel="00000000" w:rsidP="00000000" w:rsidRDefault="00000000" w:rsidRPr="00000000" w14:paraId="00000026">
            <w:pPr>
              <w:numPr>
                <w:ilvl w:val="0"/>
                <w:numId w:val="5"/>
              </w:numPr>
              <w:spacing w:line="240" w:lineRule="auto"/>
              <w:ind w:left="720" w:hanging="360"/>
              <w:jc w:val="both"/>
              <w:rPr>
                <w:u w:val="none"/>
              </w:rPr>
            </w:pPr>
            <w:r w:rsidDel="00000000" w:rsidR="00000000" w:rsidRPr="00000000">
              <w:rPr>
                <w:rtl w:val="0"/>
              </w:rPr>
              <w:t xml:space="preserve">How relevant and effective were the interventions</w:t>
            </w:r>
          </w:p>
          <w:p w:rsidR="00000000" w:rsidDel="00000000" w:rsidP="00000000" w:rsidRDefault="00000000" w:rsidRPr="00000000" w14:paraId="00000027">
            <w:pPr>
              <w:numPr>
                <w:ilvl w:val="0"/>
                <w:numId w:val="5"/>
              </w:numPr>
              <w:spacing w:line="240" w:lineRule="auto"/>
              <w:ind w:left="720" w:hanging="360"/>
              <w:jc w:val="both"/>
              <w:rPr>
                <w:u w:val="none"/>
              </w:rPr>
            </w:pPr>
            <w:r w:rsidDel="00000000" w:rsidR="00000000" w:rsidRPr="00000000">
              <w:rPr>
                <w:rtl w:val="0"/>
              </w:rPr>
              <w:t xml:space="preserve">Are the roles of different players clearly articulated</w:t>
            </w:r>
          </w:p>
          <w:p w:rsidR="00000000" w:rsidDel="00000000" w:rsidP="00000000" w:rsidRDefault="00000000" w:rsidRPr="00000000" w14:paraId="00000028">
            <w:pPr>
              <w:numPr>
                <w:ilvl w:val="0"/>
                <w:numId w:val="5"/>
              </w:numPr>
              <w:spacing w:line="240" w:lineRule="auto"/>
              <w:ind w:left="720" w:hanging="360"/>
              <w:jc w:val="both"/>
              <w:rPr>
                <w:u w:val="none"/>
              </w:rPr>
            </w:pPr>
            <w:r w:rsidDel="00000000" w:rsidR="00000000" w:rsidRPr="00000000">
              <w:rPr>
                <w:rtl w:val="0"/>
              </w:rPr>
              <w:t xml:space="preserve">How aligned were the resources to the plan's priorities?</w:t>
            </w:r>
          </w:p>
          <w:p w:rsidR="00000000" w:rsidDel="00000000" w:rsidP="00000000" w:rsidRDefault="00000000" w:rsidRPr="00000000" w14:paraId="00000029">
            <w:pPr>
              <w:numPr>
                <w:ilvl w:val="0"/>
                <w:numId w:val="5"/>
              </w:numPr>
              <w:spacing w:line="240" w:lineRule="auto"/>
              <w:ind w:left="720" w:hanging="360"/>
              <w:jc w:val="both"/>
              <w:rPr>
                <w:u w:val="none"/>
              </w:rPr>
            </w:pPr>
            <w:r w:rsidDel="00000000" w:rsidR="00000000" w:rsidRPr="00000000">
              <w:rPr>
                <w:rtl w:val="0"/>
              </w:rPr>
              <w:t xml:space="preserve">Are progress indicators spelt out </w:t>
            </w:r>
          </w:p>
          <w:p w:rsidR="00000000" w:rsidDel="00000000" w:rsidP="00000000" w:rsidRDefault="00000000" w:rsidRPr="00000000" w14:paraId="0000002A">
            <w:pPr>
              <w:spacing w:line="240" w:lineRule="auto"/>
              <w:ind w:left="0" w:firstLine="0"/>
              <w:jc w:val="both"/>
              <w:rPr/>
            </w:pPr>
            <w:r w:rsidDel="00000000" w:rsidR="00000000" w:rsidRPr="00000000">
              <w:rPr>
                <w:rtl w:val="0"/>
              </w:rPr>
            </w:r>
          </w:p>
          <w:p w:rsidR="00000000" w:rsidDel="00000000" w:rsidP="00000000" w:rsidRDefault="00000000" w:rsidRPr="00000000" w14:paraId="0000002B">
            <w:pPr>
              <w:spacing w:line="240" w:lineRule="auto"/>
              <w:ind w:left="0" w:firstLine="0"/>
              <w:jc w:val="both"/>
              <w:rPr/>
            </w:pPr>
            <w:r w:rsidDel="00000000" w:rsidR="00000000" w:rsidRPr="00000000">
              <w:rPr>
                <w:rtl w:val="0"/>
              </w:rPr>
              <w:t xml:space="preserve">The section on lessons learnt will cover the following among other issues:</w:t>
            </w:r>
          </w:p>
          <w:p w:rsidR="00000000" w:rsidDel="00000000" w:rsidP="00000000" w:rsidRDefault="00000000" w:rsidRPr="00000000" w14:paraId="0000002C">
            <w:pPr>
              <w:numPr>
                <w:ilvl w:val="0"/>
                <w:numId w:val="3"/>
              </w:numPr>
              <w:spacing w:line="240" w:lineRule="auto"/>
              <w:ind w:left="720" w:hanging="360"/>
              <w:jc w:val="both"/>
              <w:rPr>
                <w:u w:val="none"/>
              </w:rPr>
            </w:pPr>
            <w:r w:rsidDel="00000000" w:rsidR="00000000" w:rsidRPr="00000000">
              <w:rPr>
                <w:rtl w:val="0"/>
              </w:rPr>
              <w:t xml:space="preserve">what have we done well in implementing the plan</w:t>
            </w:r>
          </w:p>
          <w:p w:rsidR="00000000" w:rsidDel="00000000" w:rsidP="00000000" w:rsidRDefault="00000000" w:rsidRPr="00000000" w14:paraId="0000002D">
            <w:pPr>
              <w:numPr>
                <w:ilvl w:val="0"/>
                <w:numId w:val="3"/>
              </w:numPr>
              <w:spacing w:line="240" w:lineRule="auto"/>
              <w:ind w:left="720" w:hanging="360"/>
              <w:jc w:val="both"/>
              <w:rPr>
                <w:u w:val="none"/>
              </w:rPr>
            </w:pPr>
            <w:r w:rsidDel="00000000" w:rsidR="00000000" w:rsidRPr="00000000">
              <w:rPr>
                <w:rtl w:val="0"/>
              </w:rPr>
              <w:t xml:space="preserve">what could we do better</w:t>
            </w:r>
          </w:p>
          <w:p w:rsidR="00000000" w:rsidDel="00000000" w:rsidP="00000000" w:rsidRDefault="00000000" w:rsidRPr="00000000" w14:paraId="0000002E">
            <w:pPr>
              <w:numPr>
                <w:ilvl w:val="0"/>
                <w:numId w:val="3"/>
              </w:numPr>
              <w:spacing w:line="240" w:lineRule="auto"/>
              <w:ind w:left="720" w:hanging="360"/>
              <w:jc w:val="both"/>
              <w:rPr>
                <w:u w:val="none"/>
              </w:rPr>
            </w:pPr>
            <w:r w:rsidDel="00000000" w:rsidR="00000000" w:rsidRPr="00000000">
              <w:rPr>
                <w:rtl w:val="0"/>
              </w:rPr>
              <w:t xml:space="preserve">what are the emerging issues to consider going forward</w:t>
            </w:r>
          </w:p>
          <w:p w:rsidR="00000000" w:rsidDel="00000000" w:rsidP="00000000" w:rsidRDefault="00000000" w:rsidRPr="00000000" w14:paraId="0000002F">
            <w:pPr>
              <w:spacing w:line="240" w:lineRule="auto"/>
              <w:ind w:left="720" w:firstLine="0"/>
              <w:jc w:val="both"/>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b w:val="1"/>
                <w:rtl w:val="0"/>
              </w:rPr>
              <w:t xml:space="preserve">3. Develop a revised implementation plan and detailed 2025 annual plan. </w:t>
            </w:r>
            <w:r w:rsidDel="00000000" w:rsidR="00000000" w:rsidRPr="00000000">
              <w:rPr>
                <w:rtl w:val="0"/>
              </w:rPr>
              <w:t xml:space="preserve">The revised plan will draw from both lessons learnt and emerging issues including the revised global guideline on AA-HA. It will also address critical issues such as coordination, role responsibilities of different stakeholders, resources required and indicators for progress.</w:t>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spacing w:line="240" w:lineRule="auto"/>
              <w:jc w:val="both"/>
              <w:rPr/>
            </w:pPr>
            <w:r w:rsidDel="00000000" w:rsidR="00000000" w:rsidRPr="00000000">
              <w:rPr>
                <w:rtl w:val="0"/>
              </w:rPr>
              <w:t xml:space="preserve">The detailed annual plan will reflect clear milestones per quarter, budget, indicators and division of labor among various models using RACI Model or similar model.</w:t>
            </w:r>
          </w:p>
          <w:p w:rsidR="00000000" w:rsidDel="00000000" w:rsidP="00000000" w:rsidRDefault="00000000" w:rsidRPr="00000000" w14:paraId="00000033">
            <w:pPr>
              <w:spacing w:line="240" w:lineRule="auto"/>
              <w:jc w:val="both"/>
              <w:rPr/>
            </w:pPr>
            <w:r w:rsidDel="00000000" w:rsidR="00000000" w:rsidRPr="00000000">
              <w:rPr>
                <w:rtl w:val="0"/>
              </w:rPr>
              <w:t xml:space="preserve">4. Validation:  the consultant will facilitate a national validation workshop for all the key products and submit revised versions</w:t>
            </w:r>
          </w:p>
          <w:p w:rsidR="00000000" w:rsidDel="00000000" w:rsidP="00000000" w:rsidRDefault="00000000" w:rsidRPr="00000000" w14:paraId="00000034">
            <w:pPr>
              <w:spacing w:line="240" w:lineRule="auto"/>
              <w:jc w:val="both"/>
              <w:rPr/>
            </w:pPr>
            <w:r w:rsidDel="00000000" w:rsidR="00000000" w:rsidRPr="00000000">
              <w:rPr>
                <w:rtl w:val="0"/>
              </w:rPr>
            </w:r>
          </w:p>
        </w:tc>
      </w:tr>
      <w:tr>
        <w:trPr>
          <w:cantSplit w:val="0"/>
          <w:trHeight w:val="760" w:hRule="atLeast"/>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35">
            <w:pPr>
              <w:tabs>
                <w:tab w:val="left" w:leader="none" w:pos="-720"/>
              </w:tabs>
              <w:spacing w:line="240" w:lineRule="auto"/>
              <w:jc w:val="both"/>
              <w:rPr/>
            </w:pPr>
            <w:r w:rsidDel="00000000" w:rsidR="00000000" w:rsidRPr="00000000">
              <w:rPr>
                <w:rtl w:val="0"/>
              </w:rPr>
              <w:t xml:space="preserve">Duration and working schedule:</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36">
            <w:pPr>
              <w:tabs>
                <w:tab w:val="left" w:leader="none" w:pos="2210"/>
              </w:tabs>
              <w:spacing w:line="240" w:lineRule="auto"/>
              <w:jc w:val="both"/>
              <w:rPr/>
            </w:pPr>
            <w:r w:rsidDel="00000000" w:rsidR="00000000" w:rsidRPr="00000000">
              <w:rPr>
                <w:rtl w:val="0"/>
              </w:rPr>
              <w:t xml:space="preserve">This consultancy will require   40  persons days over a period of 3 months. September to November 2024</w:t>
            </w:r>
          </w:p>
        </w:tc>
      </w:tr>
      <w:tr>
        <w:trPr>
          <w:cantSplit w:val="0"/>
          <w:trHeight w:val="849" w:hRule="atLeast"/>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37">
            <w:pPr>
              <w:tabs>
                <w:tab w:val="left" w:leader="none" w:pos="-720"/>
              </w:tabs>
              <w:spacing w:line="240" w:lineRule="auto"/>
              <w:jc w:val="both"/>
              <w:rPr/>
            </w:pPr>
            <w:r w:rsidDel="00000000" w:rsidR="00000000" w:rsidRPr="00000000">
              <w:rPr>
                <w:rtl w:val="0"/>
              </w:rPr>
              <w:t xml:space="preserve">Place where services are to be delivered:</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38">
            <w:pPr>
              <w:numPr>
                <w:ilvl w:val="0"/>
                <w:numId w:val="1"/>
              </w:numPr>
              <w:tabs>
                <w:tab w:val="left" w:leader="none" w:pos="-720"/>
              </w:tabs>
              <w:spacing w:line="240" w:lineRule="auto"/>
              <w:ind w:left="720" w:hanging="360"/>
              <w:jc w:val="both"/>
            </w:pPr>
            <w:r w:rsidDel="00000000" w:rsidR="00000000" w:rsidRPr="00000000">
              <w:rPr>
                <w:rtl w:val="0"/>
              </w:rPr>
              <w:t xml:space="preserve">Ministry of Health</w:t>
            </w:r>
          </w:p>
          <w:p w:rsidR="00000000" w:rsidDel="00000000" w:rsidP="00000000" w:rsidRDefault="00000000" w:rsidRPr="00000000" w14:paraId="00000039">
            <w:pPr>
              <w:numPr>
                <w:ilvl w:val="0"/>
                <w:numId w:val="1"/>
              </w:numPr>
              <w:tabs>
                <w:tab w:val="left" w:leader="none" w:pos="-720"/>
              </w:tabs>
              <w:spacing w:line="240" w:lineRule="auto"/>
              <w:ind w:left="720" w:hanging="360"/>
              <w:jc w:val="both"/>
            </w:pPr>
            <w:r w:rsidDel="00000000" w:rsidR="00000000" w:rsidRPr="00000000">
              <w:rPr>
                <w:rtl w:val="0"/>
              </w:rPr>
              <w:t xml:space="preserve">UNFPA Office, Maseru, Lesotho </w:t>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3A">
            <w:pPr>
              <w:tabs>
                <w:tab w:val="left" w:leader="none" w:pos="-720"/>
              </w:tabs>
              <w:spacing w:line="240" w:lineRule="auto"/>
              <w:jc w:val="both"/>
              <w:rPr/>
            </w:pPr>
            <w:r w:rsidDel="00000000" w:rsidR="00000000" w:rsidRPr="00000000">
              <w:rPr>
                <w:rtl w:val="0"/>
              </w:rPr>
              <w:t xml:space="preserve">Delivery dates and how work will be delivered (e.g. electronic, hard copy etc.):</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3B">
            <w:pPr>
              <w:spacing w:line="240" w:lineRule="auto"/>
              <w:jc w:val="both"/>
              <w:rPr/>
            </w:pPr>
            <w:r w:rsidDel="00000000" w:rsidR="00000000" w:rsidRPr="00000000">
              <w:rPr>
                <w:rtl w:val="0"/>
              </w:rPr>
              <w:t xml:space="preserve">The consultant will deliver work electronically as per the schedule):</w:t>
            </w:r>
          </w:p>
          <w:tbl>
            <w:tblPr>
              <w:tblStyle w:val="Table2"/>
              <w:tblW w:w="7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2"/>
              <w:gridCol w:w="4073"/>
              <w:tblGridChange w:id="0">
                <w:tblGrid>
                  <w:gridCol w:w="3642"/>
                  <w:gridCol w:w="4073"/>
                </w:tblGrid>
              </w:tblGridChange>
            </w:tblGrid>
            <w:tr>
              <w:trPr>
                <w:cantSplit w:val="0"/>
                <w:tblHeader w:val="0"/>
              </w:trPr>
              <w:tc>
                <w:tcPr>
                  <w:shd w:fill="auto" w:val="clear"/>
                </w:tcPr>
                <w:p w:rsidR="00000000" w:rsidDel="00000000" w:rsidP="00000000" w:rsidRDefault="00000000" w:rsidRPr="00000000" w14:paraId="0000003C">
                  <w:pPr>
                    <w:spacing w:line="240" w:lineRule="auto"/>
                    <w:jc w:val="both"/>
                    <w:rPr/>
                  </w:pPr>
                  <w:r w:rsidDel="00000000" w:rsidR="00000000" w:rsidRPr="00000000">
                    <w:rPr>
                      <w:rtl w:val="0"/>
                    </w:rPr>
                    <w:t xml:space="preserve">Deliverable </w:t>
                  </w:r>
                </w:p>
              </w:tc>
              <w:tc>
                <w:tcPr>
                  <w:shd w:fill="auto" w:val="clear"/>
                </w:tcPr>
                <w:p w:rsidR="00000000" w:rsidDel="00000000" w:rsidP="00000000" w:rsidRDefault="00000000" w:rsidRPr="00000000" w14:paraId="0000003D">
                  <w:pPr>
                    <w:spacing w:line="240" w:lineRule="auto"/>
                    <w:jc w:val="both"/>
                    <w:rPr/>
                  </w:pPr>
                  <w:r w:rsidDel="00000000" w:rsidR="00000000" w:rsidRPr="00000000">
                    <w:rPr>
                      <w:rtl w:val="0"/>
                    </w:rPr>
                    <w:t xml:space="preserve">Time Frame </w:t>
                  </w:r>
                </w:p>
              </w:tc>
            </w:tr>
            <w:tr>
              <w:trPr>
                <w:cantSplit w:val="0"/>
                <w:tblHeader w:val="0"/>
              </w:trPr>
              <w:tc>
                <w:tcPr>
                  <w:shd w:fill="auto" w:val="clear"/>
                </w:tcPr>
                <w:p w:rsidR="00000000" w:rsidDel="00000000" w:rsidP="00000000" w:rsidRDefault="00000000" w:rsidRPr="00000000" w14:paraId="0000003E">
                  <w:pPr>
                    <w:spacing w:line="240" w:lineRule="auto"/>
                    <w:jc w:val="both"/>
                    <w:rPr/>
                  </w:pPr>
                  <w:r w:rsidDel="00000000" w:rsidR="00000000" w:rsidRPr="00000000">
                    <w:rPr>
                      <w:rtl w:val="0"/>
                    </w:rPr>
                    <w:t xml:space="preserve">Inception report and data collection tools </w:t>
                  </w:r>
                </w:p>
              </w:tc>
              <w:tc>
                <w:tcPr>
                  <w:shd w:fill="auto" w:val="clear"/>
                </w:tcPr>
                <w:p w:rsidR="00000000" w:rsidDel="00000000" w:rsidP="00000000" w:rsidRDefault="00000000" w:rsidRPr="00000000" w14:paraId="0000003F">
                  <w:pPr>
                    <w:spacing w:line="240" w:lineRule="auto"/>
                    <w:jc w:val="both"/>
                    <w:rPr/>
                  </w:pPr>
                  <w:r w:rsidDel="00000000" w:rsidR="00000000" w:rsidRPr="00000000">
                    <w:rPr>
                      <w:rtl w:val="0"/>
                    </w:rPr>
                    <w:t xml:space="preserve">28 September 2024 (5 days)  10%</w:t>
                  </w:r>
                </w:p>
              </w:tc>
            </w:tr>
            <w:tr>
              <w:trPr>
                <w:cantSplit w:val="0"/>
                <w:tblHeader w:val="0"/>
              </w:trPr>
              <w:tc>
                <w:tcPr>
                  <w:shd w:fill="auto" w:val="clear"/>
                </w:tcPr>
                <w:p w:rsidR="00000000" w:rsidDel="00000000" w:rsidP="00000000" w:rsidRDefault="00000000" w:rsidRPr="00000000" w14:paraId="00000040">
                  <w:pPr>
                    <w:spacing w:line="240" w:lineRule="auto"/>
                    <w:jc w:val="both"/>
                    <w:rPr/>
                  </w:pPr>
                  <w:r w:rsidDel="00000000" w:rsidR="00000000" w:rsidRPr="00000000">
                    <w:rPr>
                      <w:rtl w:val="0"/>
                    </w:rPr>
                    <w:t xml:space="preserve">Draft review and lessons learnt</w:t>
                  </w:r>
                </w:p>
              </w:tc>
              <w:tc>
                <w:tcPr>
                  <w:shd w:fill="auto" w:val="clear"/>
                </w:tcPr>
                <w:p w:rsidR="00000000" w:rsidDel="00000000" w:rsidP="00000000" w:rsidRDefault="00000000" w:rsidRPr="00000000" w14:paraId="00000041">
                  <w:pPr>
                    <w:spacing w:line="240" w:lineRule="auto"/>
                    <w:jc w:val="both"/>
                    <w:rPr/>
                  </w:pPr>
                  <w:r w:rsidDel="00000000" w:rsidR="00000000" w:rsidRPr="00000000">
                    <w:rPr>
                      <w:rtl w:val="0"/>
                    </w:rPr>
                    <w:t xml:space="preserve">26 October 2024 (15 days) 40%</w:t>
                  </w:r>
                </w:p>
              </w:tc>
            </w:tr>
            <w:tr>
              <w:trPr>
                <w:cantSplit w:val="0"/>
                <w:tblHeader w:val="0"/>
              </w:trPr>
              <w:tc>
                <w:tcPr>
                  <w:shd w:fill="auto" w:val="clear"/>
                </w:tcPr>
                <w:p w:rsidR="00000000" w:rsidDel="00000000" w:rsidP="00000000" w:rsidRDefault="00000000" w:rsidRPr="00000000" w14:paraId="00000042">
                  <w:pPr>
                    <w:spacing w:line="240" w:lineRule="auto"/>
                    <w:jc w:val="both"/>
                    <w:rPr/>
                  </w:pPr>
                  <w:r w:rsidDel="00000000" w:rsidR="00000000" w:rsidRPr="00000000">
                    <w:rPr>
                      <w:rtl w:val="0"/>
                    </w:rPr>
                    <w:t xml:space="preserve">Draft revised plan and detailed annual plan pl</w:t>
                  </w:r>
                </w:p>
              </w:tc>
              <w:tc>
                <w:tcPr>
                  <w:shd w:fill="auto" w:val="clear"/>
                </w:tcPr>
                <w:p w:rsidR="00000000" w:rsidDel="00000000" w:rsidP="00000000" w:rsidRDefault="00000000" w:rsidRPr="00000000" w14:paraId="00000043">
                  <w:pPr>
                    <w:spacing w:line="240" w:lineRule="auto"/>
                    <w:jc w:val="both"/>
                    <w:rPr/>
                  </w:pPr>
                  <w:r w:rsidDel="00000000" w:rsidR="00000000" w:rsidRPr="00000000">
                    <w:rPr>
                      <w:rtl w:val="0"/>
                    </w:rPr>
                    <w:t xml:space="preserve"> November 2024 </w:t>
                  </w:r>
                </w:p>
                <w:p w:rsidR="00000000" w:rsidDel="00000000" w:rsidP="00000000" w:rsidRDefault="00000000" w:rsidRPr="00000000" w14:paraId="00000044">
                  <w:pPr>
                    <w:spacing w:line="240" w:lineRule="auto"/>
                    <w:jc w:val="both"/>
                    <w:rPr/>
                  </w:pPr>
                  <w:r w:rsidDel="00000000" w:rsidR="00000000" w:rsidRPr="00000000">
                    <w:rPr>
                      <w:rtl w:val="0"/>
                    </w:rPr>
                    <w:t xml:space="preserve">(8 days)  15%</w:t>
                  </w:r>
                </w:p>
              </w:tc>
            </w:tr>
            <w:tr>
              <w:trPr>
                <w:cantSplit w:val="0"/>
                <w:tblHeader w:val="0"/>
              </w:trPr>
              <w:tc>
                <w:tcPr>
                  <w:shd w:fill="auto" w:val="clear"/>
                </w:tcPr>
                <w:p w:rsidR="00000000" w:rsidDel="00000000" w:rsidP="00000000" w:rsidRDefault="00000000" w:rsidRPr="00000000" w14:paraId="00000045">
                  <w:pPr>
                    <w:spacing w:line="240" w:lineRule="auto"/>
                    <w:jc w:val="both"/>
                    <w:rPr/>
                  </w:pPr>
                  <w:r w:rsidDel="00000000" w:rsidR="00000000" w:rsidRPr="00000000">
                    <w:rPr>
                      <w:rtl w:val="0"/>
                    </w:rPr>
                    <w:t xml:space="preserve">Validation workshop</w:t>
                  </w:r>
                </w:p>
              </w:tc>
              <w:tc>
                <w:tcPr>
                  <w:shd w:fill="auto" w:val="clear"/>
                </w:tcPr>
                <w:p w:rsidR="00000000" w:rsidDel="00000000" w:rsidP="00000000" w:rsidRDefault="00000000" w:rsidRPr="00000000" w14:paraId="00000046">
                  <w:pPr>
                    <w:spacing w:line="240" w:lineRule="auto"/>
                    <w:jc w:val="both"/>
                    <w:rPr/>
                  </w:pPr>
                  <w:r w:rsidDel="00000000" w:rsidR="00000000" w:rsidRPr="00000000">
                    <w:rPr>
                      <w:rtl w:val="0"/>
                    </w:rPr>
                    <w:t xml:space="preserve">15 November 2024 (5 days) 10 %</w:t>
                  </w:r>
                </w:p>
              </w:tc>
            </w:tr>
            <w:tr>
              <w:trPr>
                <w:cantSplit w:val="0"/>
                <w:tblHeader w:val="0"/>
              </w:trPr>
              <w:tc>
                <w:tcPr>
                  <w:shd w:fill="auto" w:val="clear"/>
                </w:tcPr>
                <w:p w:rsidR="00000000" w:rsidDel="00000000" w:rsidP="00000000" w:rsidRDefault="00000000" w:rsidRPr="00000000" w14:paraId="00000047">
                  <w:pPr>
                    <w:spacing w:line="240" w:lineRule="auto"/>
                    <w:jc w:val="both"/>
                    <w:rPr/>
                  </w:pPr>
                  <w:r w:rsidDel="00000000" w:rsidR="00000000" w:rsidRPr="00000000">
                    <w:rPr>
                      <w:rtl w:val="0"/>
                    </w:rPr>
                    <w:t xml:space="preserve">Final products: Inception Report, Response analysis and lessons learnt and final revised plan and detailed annual plan</w:t>
                  </w:r>
                </w:p>
              </w:tc>
              <w:tc>
                <w:tcPr>
                  <w:shd w:fill="auto" w:val="clear"/>
                </w:tcPr>
                <w:p w:rsidR="00000000" w:rsidDel="00000000" w:rsidP="00000000" w:rsidRDefault="00000000" w:rsidRPr="00000000" w14:paraId="00000048">
                  <w:pPr>
                    <w:spacing w:line="240" w:lineRule="auto"/>
                    <w:jc w:val="both"/>
                    <w:rPr/>
                  </w:pPr>
                  <w:r w:rsidDel="00000000" w:rsidR="00000000" w:rsidRPr="00000000">
                    <w:rPr>
                      <w:rtl w:val="0"/>
                    </w:rPr>
                    <w:t xml:space="preserve">15 December 2024 ( 7 days) 25%</w:t>
                  </w:r>
                </w:p>
              </w:tc>
            </w:tr>
          </w:tbl>
          <w:p w:rsidR="00000000" w:rsidDel="00000000" w:rsidP="00000000" w:rsidRDefault="00000000" w:rsidRPr="00000000" w14:paraId="00000049">
            <w:pPr>
              <w:spacing w:line="240" w:lineRule="auto"/>
              <w:jc w:val="both"/>
              <w:rPr/>
            </w:pPr>
            <w:r w:rsidDel="00000000" w:rsidR="00000000" w:rsidRPr="00000000">
              <w:rPr>
                <w:rtl w:val="0"/>
              </w:rPr>
            </w:r>
          </w:p>
          <w:p w:rsidR="00000000" w:rsidDel="00000000" w:rsidP="00000000" w:rsidRDefault="00000000" w:rsidRPr="00000000" w14:paraId="0000004A">
            <w:pPr>
              <w:spacing w:line="240" w:lineRule="auto"/>
              <w:jc w:val="both"/>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4B">
            <w:pPr>
              <w:tabs>
                <w:tab w:val="left" w:leader="none" w:pos="-720"/>
              </w:tabs>
              <w:spacing w:line="240" w:lineRule="auto"/>
              <w:jc w:val="both"/>
              <w:rPr/>
            </w:pPr>
            <w:r w:rsidDel="00000000" w:rsidR="00000000" w:rsidRPr="00000000">
              <w:rPr>
                <w:rtl w:val="0"/>
              </w:rPr>
              <w:t xml:space="preserve">Monitoring and progress control, including reporting requirements, periodicity format and deadline:</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4C">
            <w:pPr>
              <w:tabs>
                <w:tab w:val="left" w:leader="none" w:pos="-720"/>
              </w:tabs>
              <w:spacing w:line="240" w:lineRule="auto"/>
              <w:jc w:val="both"/>
              <w:rPr/>
            </w:pPr>
            <w:r w:rsidDel="00000000" w:rsidR="00000000" w:rsidRPr="00000000">
              <w:rPr>
                <w:rtl w:val="0"/>
              </w:rPr>
              <w:t xml:space="preserve">The consultant will be required to provide bi-weekly progress updates through one-on-one meetings, e-mails or telephonically to the Ministry of Health Adolescent Program Manage UNFPA</w:t>
            </w:r>
          </w:p>
          <w:p w:rsidR="00000000" w:rsidDel="00000000" w:rsidP="00000000" w:rsidRDefault="00000000" w:rsidRPr="00000000" w14:paraId="0000004D">
            <w:pPr>
              <w:tabs>
                <w:tab w:val="left" w:leader="none" w:pos="-720"/>
              </w:tabs>
              <w:spacing w:line="240" w:lineRule="auto"/>
              <w:jc w:val="both"/>
              <w:rPr/>
            </w:pPr>
            <w:r w:rsidDel="00000000" w:rsidR="00000000" w:rsidRPr="00000000">
              <w:rPr>
                <w:rtl w:val="0"/>
              </w:rPr>
            </w:r>
          </w:p>
          <w:p w:rsidR="00000000" w:rsidDel="00000000" w:rsidP="00000000" w:rsidRDefault="00000000" w:rsidRPr="00000000" w14:paraId="0000004E">
            <w:pPr>
              <w:tabs>
                <w:tab w:val="left" w:leader="none" w:pos="-720"/>
              </w:tabs>
              <w:spacing w:line="240" w:lineRule="auto"/>
              <w:jc w:val="both"/>
              <w:rPr/>
            </w:pPr>
            <w:r w:rsidDel="00000000" w:rsidR="00000000" w:rsidRPr="00000000">
              <w:rPr>
                <w:rtl w:val="0"/>
              </w:rPr>
              <w:t xml:space="preserve"> </w:t>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4F">
            <w:pPr>
              <w:tabs>
                <w:tab w:val="left" w:leader="none" w:pos="-720"/>
              </w:tabs>
              <w:spacing w:line="240" w:lineRule="auto"/>
              <w:jc w:val="both"/>
              <w:rPr/>
            </w:pPr>
            <w:r w:rsidDel="00000000" w:rsidR="00000000" w:rsidRPr="00000000">
              <w:rPr>
                <w:rtl w:val="0"/>
              </w:rPr>
              <w:t xml:space="preserve">Supervisory arrangements: </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50">
            <w:pPr>
              <w:spacing w:line="240" w:lineRule="auto"/>
              <w:jc w:val="both"/>
              <w:rPr/>
            </w:pPr>
            <w:r w:rsidDel="00000000" w:rsidR="00000000" w:rsidRPr="00000000">
              <w:rPr>
                <w:rtl w:val="0"/>
              </w:rPr>
              <w:t xml:space="preserve">The consultant will be answerable to The UNFPA Representative, closely liaise with UNFPA National Programme Analyst BCC Adolescent and Youth, and</w:t>
            </w:r>
          </w:p>
          <w:p w:rsidR="00000000" w:rsidDel="00000000" w:rsidP="00000000" w:rsidRDefault="00000000" w:rsidRPr="00000000" w14:paraId="00000051">
            <w:pPr>
              <w:spacing w:line="240" w:lineRule="auto"/>
              <w:jc w:val="both"/>
              <w:rPr/>
            </w:pPr>
            <w:r w:rsidDel="00000000" w:rsidR="00000000" w:rsidRPr="00000000">
              <w:rPr>
                <w:rtl w:val="0"/>
              </w:rPr>
              <w:t xml:space="preserve"> The Ministry of Health Adolescent Health Manager. This consultancy will technically be reviewed by the Adolescent Health Technical Working Team constituted by the MOH, MoET, and  UN.</w:t>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52">
            <w:pPr>
              <w:tabs>
                <w:tab w:val="left" w:leader="none" w:pos="-720"/>
              </w:tabs>
              <w:spacing w:line="240" w:lineRule="auto"/>
              <w:jc w:val="both"/>
              <w:rPr/>
            </w:pPr>
            <w:r w:rsidDel="00000000" w:rsidR="00000000" w:rsidRPr="00000000">
              <w:rPr>
                <w:rtl w:val="0"/>
              </w:rPr>
              <w:t xml:space="preserve">Expected travel:</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53">
            <w:pPr>
              <w:spacing w:line="240" w:lineRule="auto"/>
              <w:jc w:val="both"/>
              <w:rPr/>
            </w:pPr>
            <w:r w:rsidDel="00000000" w:rsidR="00000000" w:rsidRPr="00000000">
              <w:rPr>
                <w:rtl w:val="0"/>
              </w:rPr>
              <w:t xml:space="preserve">The consultant is expected to undertake travel to Lesotho for consultations and meetings as necessary.  </w:t>
            </w:r>
          </w:p>
          <w:p w:rsidR="00000000" w:rsidDel="00000000" w:rsidP="00000000" w:rsidRDefault="00000000" w:rsidRPr="00000000" w14:paraId="00000054">
            <w:pPr>
              <w:spacing w:line="240" w:lineRule="auto"/>
              <w:jc w:val="both"/>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55">
            <w:pPr>
              <w:tabs>
                <w:tab w:val="left" w:leader="none" w:pos="-720"/>
              </w:tabs>
              <w:spacing w:line="240" w:lineRule="auto"/>
              <w:jc w:val="both"/>
              <w:rPr/>
            </w:pPr>
            <w:r w:rsidDel="00000000" w:rsidR="00000000" w:rsidRPr="00000000">
              <w:rPr>
                <w:rtl w:val="0"/>
              </w:rPr>
              <w:t xml:space="preserve">Required expertise, qualifications, and competencies, including language requirements:</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56">
            <w:pPr>
              <w:spacing w:line="240" w:lineRule="auto"/>
              <w:jc w:val="both"/>
              <w:rPr/>
            </w:pPr>
            <w:r w:rsidDel="00000000" w:rsidR="00000000" w:rsidRPr="00000000">
              <w:rPr>
                <w:rtl w:val="0"/>
              </w:rPr>
              <w:t xml:space="preserve">The consultancy is seeking a local consultant with the following: </w:t>
            </w:r>
          </w:p>
          <w:p w:rsidR="00000000" w:rsidDel="00000000" w:rsidP="00000000" w:rsidRDefault="00000000" w:rsidRPr="00000000" w14:paraId="00000057">
            <w:pPr>
              <w:numPr>
                <w:ilvl w:val="0"/>
                <w:numId w:val="6"/>
              </w:numPr>
              <w:spacing w:line="240" w:lineRule="auto"/>
              <w:ind w:left="720" w:hanging="360"/>
              <w:jc w:val="both"/>
            </w:pPr>
            <w:r w:rsidDel="00000000" w:rsidR="00000000" w:rsidRPr="00000000">
              <w:rPr>
                <w:rtl w:val="0"/>
              </w:rPr>
              <w:t xml:space="preserve">Education:</w:t>
            </w:r>
          </w:p>
          <w:p w:rsidR="00000000" w:rsidDel="00000000" w:rsidP="00000000" w:rsidRDefault="00000000" w:rsidRPr="00000000" w14:paraId="00000058">
            <w:pPr>
              <w:numPr>
                <w:ilvl w:val="1"/>
                <w:numId w:val="2"/>
              </w:numPr>
              <w:spacing w:line="240" w:lineRule="auto"/>
              <w:ind w:left="1440" w:hanging="360"/>
              <w:jc w:val="both"/>
            </w:pPr>
            <w:r w:rsidDel="00000000" w:rsidR="00000000" w:rsidRPr="00000000">
              <w:rPr>
                <w:rtl w:val="0"/>
              </w:rPr>
              <w:t xml:space="preserve">Masters degree in public health, health planning, social sciences, or a related field.</w:t>
            </w:r>
          </w:p>
          <w:p w:rsidR="00000000" w:rsidDel="00000000" w:rsidP="00000000" w:rsidRDefault="00000000" w:rsidRPr="00000000" w14:paraId="00000059">
            <w:pPr>
              <w:numPr>
                <w:ilvl w:val="0"/>
                <w:numId w:val="2"/>
              </w:numPr>
              <w:spacing w:line="240" w:lineRule="auto"/>
              <w:ind w:left="720" w:hanging="360"/>
              <w:jc w:val="both"/>
            </w:pPr>
            <w:r w:rsidDel="00000000" w:rsidR="00000000" w:rsidRPr="00000000">
              <w:rPr>
                <w:rtl w:val="0"/>
              </w:rPr>
              <w:t xml:space="preserve">Experience:</w:t>
            </w:r>
          </w:p>
          <w:p w:rsidR="00000000" w:rsidDel="00000000" w:rsidP="00000000" w:rsidRDefault="00000000" w:rsidRPr="00000000" w14:paraId="0000005A">
            <w:pPr>
              <w:numPr>
                <w:ilvl w:val="1"/>
                <w:numId w:val="2"/>
              </w:numPr>
              <w:spacing w:line="240" w:lineRule="auto"/>
              <w:ind w:left="1440" w:hanging="360"/>
              <w:jc w:val="both"/>
            </w:pPr>
            <w:r w:rsidDel="00000000" w:rsidR="00000000" w:rsidRPr="00000000">
              <w:rPr>
                <w:rtl w:val="0"/>
              </w:rPr>
              <w:t xml:space="preserve">At least 5 years of demonstrated experience in the development, implementation, and evaluation of health programs, preferably with a focus on adolescent health or sexual and reproductive health.</w:t>
            </w:r>
          </w:p>
          <w:p w:rsidR="00000000" w:rsidDel="00000000" w:rsidP="00000000" w:rsidRDefault="00000000" w:rsidRPr="00000000" w14:paraId="0000005B">
            <w:pPr>
              <w:numPr>
                <w:ilvl w:val="1"/>
                <w:numId w:val="2"/>
              </w:numPr>
              <w:spacing w:line="240" w:lineRule="auto"/>
              <w:ind w:left="1440" w:hanging="360"/>
              <w:jc w:val="both"/>
            </w:pPr>
            <w:r w:rsidDel="00000000" w:rsidR="00000000" w:rsidRPr="00000000">
              <w:rPr>
                <w:rtl w:val="0"/>
              </w:rPr>
              <w:t xml:space="preserve">Proven track record in conducting program reviews and developing strategic plans.</w:t>
            </w:r>
          </w:p>
          <w:p w:rsidR="00000000" w:rsidDel="00000000" w:rsidP="00000000" w:rsidRDefault="00000000" w:rsidRPr="00000000" w14:paraId="0000005C">
            <w:pPr>
              <w:numPr>
                <w:ilvl w:val="1"/>
                <w:numId w:val="2"/>
              </w:numPr>
              <w:spacing w:line="240" w:lineRule="auto"/>
              <w:ind w:left="1440" w:hanging="360"/>
              <w:jc w:val="both"/>
            </w:pPr>
            <w:r w:rsidDel="00000000" w:rsidR="00000000" w:rsidRPr="00000000">
              <w:rPr>
                <w:rtl w:val="0"/>
              </w:rPr>
              <w:t xml:space="preserve">Experience in working with government agencies, NGOs, and other stakeholders in the health sector.</w:t>
            </w:r>
          </w:p>
          <w:p w:rsidR="00000000" w:rsidDel="00000000" w:rsidP="00000000" w:rsidRDefault="00000000" w:rsidRPr="00000000" w14:paraId="0000005D">
            <w:pPr>
              <w:numPr>
                <w:ilvl w:val="1"/>
                <w:numId w:val="2"/>
              </w:numPr>
              <w:spacing w:line="240" w:lineRule="auto"/>
              <w:ind w:left="1440" w:hanging="360"/>
              <w:jc w:val="both"/>
            </w:pPr>
            <w:r w:rsidDel="00000000" w:rsidR="00000000" w:rsidRPr="00000000">
              <w:rPr>
                <w:rtl w:val="0"/>
              </w:rPr>
              <w:t xml:space="preserve">Familiarity with the Lesotho health system and context is highly desirable.</w:t>
            </w:r>
          </w:p>
          <w:p w:rsidR="00000000" w:rsidDel="00000000" w:rsidP="00000000" w:rsidRDefault="00000000" w:rsidRPr="00000000" w14:paraId="0000005E">
            <w:pPr>
              <w:numPr>
                <w:ilvl w:val="0"/>
                <w:numId w:val="2"/>
              </w:numPr>
              <w:spacing w:line="240" w:lineRule="auto"/>
              <w:ind w:left="720" w:hanging="360"/>
              <w:jc w:val="both"/>
            </w:pPr>
            <w:r w:rsidDel="00000000" w:rsidR="00000000" w:rsidRPr="00000000">
              <w:rPr>
                <w:rtl w:val="0"/>
              </w:rPr>
              <w:t xml:space="preserve">Skills and Competencies:</w:t>
            </w:r>
          </w:p>
          <w:p w:rsidR="00000000" w:rsidDel="00000000" w:rsidP="00000000" w:rsidRDefault="00000000" w:rsidRPr="00000000" w14:paraId="0000005F">
            <w:pPr>
              <w:numPr>
                <w:ilvl w:val="1"/>
                <w:numId w:val="2"/>
              </w:numPr>
              <w:spacing w:line="240" w:lineRule="auto"/>
              <w:ind w:left="1440" w:hanging="360"/>
              <w:jc w:val="both"/>
            </w:pPr>
            <w:r w:rsidDel="00000000" w:rsidR="00000000" w:rsidRPr="00000000">
              <w:rPr>
                <w:rtl w:val="0"/>
              </w:rPr>
              <w:t xml:space="preserve">Strong analytical and problem-solving skills.</w:t>
            </w:r>
          </w:p>
          <w:p w:rsidR="00000000" w:rsidDel="00000000" w:rsidP="00000000" w:rsidRDefault="00000000" w:rsidRPr="00000000" w14:paraId="00000060">
            <w:pPr>
              <w:numPr>
                <w:ilvl w:val="1"/>
                <w:numId w:val="2"/>
              </w:numPr>
              <w:spacing w:line="240" w:lineRule="auto"/>
              <w:ind w:left="1440" w:hanging="360"/>
              <w:jc w:val="both"/>
            </w:pPr>
            <w:r w:rsidDel="00000000" w:rsidR="00000000" w:rsidRPr="00000000">
              <w:rPr>
                <w:rtl w:val="0"/>
              </w:rPr>
              <w:t xml:space="preserve">Excellent communication and interpersonal skills, including the ability to facilitate consultations and build consensus among diverse stakeholders.</w:t>
            </w:r>
          </w:p>
          <w:p w:rsidR="00000000" w:rsidDel="00000000" w:rsidP="00000000" w:rsidRDefault="00000000" w:rsidRPr="00000000" w14:paraId="00000061">
            <w:pPr>
              <w:numPr>
                <w:ilvl w:val="1"/>
                <w:numId w:val="2"/>
              </w:numPr>
              <w:spacing w:line="240" w:lineRule="auto"/>
              <w:ind w:left="1440" w:hanging="360"/>
              <w:jc w:val="both"/>
            </w:pPr>
            <w:r w:rsidDel="00000000" w:rsidR="00000000" w:rsidRPr="00000000">
              <w:rPr>
                <w:rtl w:val="0"/>
              </w:rPr>
              <w:t xml:space="preserve">Proven ability to write clear, concise, and compelling reports.</w:t>
            </w:r>
          </w:p>
          <w:p w:rsidR="00000000" w:rsidDel="00000000" w:rsidP="00000000" w:rsidRDefault="00000000" w:rsidRPr="00000000" w14:paraId="00000062">
            <w:pPr>
              <w:numPr>
                <w:ilvl w:val="1"/>
                <w:numId w:val="2"/>
              </w:numPr>
              <w:spacing w:line="240" w:lineRule="auto"/>
              <w:ind w:left="1440" w:hanging="360"/>
              <w:jc w:val="both"/>
            </w:pPr>
            <w:r w:rsidDel="00000000" w:rsidR="00000000" w:rsidRPr="00000000">
              <w:rPr>
                <w:rtl w:val="0"/>
              </w:rPr>
              <w:t xml:space="preserve">Fluency in English and Sesotho (oral and written) is highly desirable.</w:t>
            </w:r>
          </w:p>
          <w:p w:rsidR="00000000" w:rsidDel="00000000" w:rsidP="00000000" w:rsidRDefault="00000000" w:rsidRPr="00000000" w14:paraId="00000063">
            <w:pPr>
              <w:spacing w:line="240" w:lineRule="auto"/>
              <w:jc w:val="both"/>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64">
            <w:pPr>
              <w:tabs>
                <w:tab w:val="left" w:leader="none" w:pos="-720"/>
              </w:tabs>
              <w:spacing w:line="240" w:lineRule="auto"/>
              <w:jc w:val="both"/>
              <w:rPr/>
            </w:pPr>
            <w:r w:rsidDel="00000000" w:rsidR="00000000" w:rsidRPr="00000000">
              <w:rPr>
                <w:rtl w:val="0"/>
              </w:rPr>
              <w:t xml:space="preserve">Inputs / services to be provided by UNFPA or implementing partner (e.g. support services, office space, equipment), if applicable:</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65">
            <w:pPr>
              <w:numPr>
                <w:ilvl w:val="0"/>
                <w:numId w:val="4"/>
              </w:numPr>
              <w:spacing w:line="240" w:lineRule="auto"/>
              <w:ind w:left="720" w:hanging="360"/>
              <w:jc w:val="both"/>
            </w:pPr>
            <w:r w:rsidDel="00000000" w:rsidR="00000000" w:rsidRPr="00000000">
              <w:rPr>
                <w:rtl w:val="0"/>
              </w:rPr>
              <w:t xml:space="preserve">The Adolescent Health task team will provide technical guidance to the review process </w:t>
            </w:r>
          </w:p>
          <w:p w:rsidR="00000000" w:rsidDel="00000000" w:rsidP="00000000" w:rsidRDefault="00000000" w:rsidRPr="00000000" w14:paraId="00000066">
            <w:pPr>
              <w:numPr>
                <w:ilvl w:val="0"/>
                <w:numId w:val="4"/>
              </w:numPr>
              <w:spacing w:line="240" w:lineRule="auto"/>
              <w:ind w:left="720" w:hanging="360"/>
              <w:jc w:val="both"/>
            </w:pPr>
            <w:r w:rsidDel="00000000" w:rsidR="00000000" w:rsidRPr="00000000">
              <w:rPr>
                <w:rtl w:val="0"/>
              </w:rPr>
              <w:t xml:space="preserve">The consultant should provide his/her own work space, equipment and internet. UNFPA/MoH will provide office space and transport</w:t>
            </w:r>
          </w:p>
        </w:tc>
      </w:tr>
      <w:tr>
        <w:trPr>
          <w:cantSplit w:val="0"/>
          <w:tblHeader w:val="0"/>
        </w:trPr>
        <w:tc>
          <w:tcPr>
            <w:tcBorders>
              <w:top w:color="000000" w:space="0" w:sz="6" w:val="single"/>
              <w:left w:color="000000" w:space="0" w:sz="6" w:val="single"/>
              <w:bottom w:color="000000" w:space="0" w:sz="6" w:val="single"/>
            </w:tcBorders>
            <w:shd w:fill="auto" w:val="clear"/>
            <w:tcMar>
              <w:left w:w="148.0" w:type="dxa"/>
              <w:right w:w="148.0" w:type="dxa"/>
            </w:tcMar>
          </w:tcPr>
          <w:p w:rsidR="00000000" w:rsidDel="00000000" w:rsidP="00000000" w:rsidRDefault="00000000" w:rsidRPr="00000000" w14:paraId="00000067">
            <w:pPr>
              <w:tabs>
                <w:tab w:val="left" w:leader="none" w:pos="-720"/>
              </w:tabs>
              <w:spacing w:line="240" w:lineRule="auto"/>
              <w:jc w:val="both"/>
              <w:rPr/>
            </w:pPr>
            <w:r w:rsidDel="00000000" w:rsidR="00000000" w:rsidRPr="00000000">
              <w:rPr>
                <w:rtl w:val="0"/>
              </w:rPr>
              <w:t xml:space="preserve">Other relevant information or special conditions, if any:</w:t>
            </w:r>
          </w:p>
        </w:tc>
        <w:tc>
          <w:tcPr>
            <w:tcBorders>
              <w:top w:color="000000" w:space="0" w:sz="6"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68">
            <w:pPr>
              <w:tabs>
                <w:tab w:val="left" w:leader="none" w:pos="-720"/>
              </w:tabs>
              <w:spacing w:line="240" w:lineRule="auto"/>
              <w:jc w:val="both"/>
              <w:rPr/>
            </w:pPr>
            <w:r w:rsidDel="00000000" w:rsidR="00000000" w:rsidRPr="00000000">
              <w:rPr>
                <w:rtl w:val="0"/>
              </w:rPr>
            </w:r>
          </w:p>
          <w:p w:rsidR="00000000" w:rsidDel="00000000" w:rsidP="00000000" w:rsidRDefault="00000000" w:rsidRPr="00000000" w14:paraId="00000069">
            <w:pPr>
              <w:spacing w:line="240" w:lineRule="auto"/>
              <w:jc w:val="both"/>
              <w:rPr/>
            </w:pP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6" w:val="single"/>
              <w:right w:color="000000" w:space="0" w:sz="6" w:val="single"/>
            </w:tcBorders>
            <w:shd w:fill="auto" w:val="clear"/>
            <w:tcMar>
              <w:left w:w="148.0" w:type="dxa"/>
              <w:right w:w="148.0" w:type="dxa"/>
            </w:tcMar>
          </w:tcPr>
          <w:p w:rsidR="00000000" w:rsidDel="00000000" w:rsidP="00000000" w:rsidRDefault="00000000" w:rsidRPr="00000000" w14:paraId="0000006A">
            <w:pPr>
              <w:tabs>
                <w:tab w:val="left" w:leader="none" w:pos="-720"/>
              </w:tabs>
              <w:spacing w:line="240" w:lineRule="auto"/>
              <w:jc w:val="both"/>
              <w:rPr/>
            </w:pPr>
            <w:r w:rsidDel="00000000" w:rsidR="00000000" w:rsidRPr="00000000">
              <w:rPr>
                <w:rtl w:val="0"/>
              </w:rPr>
              <w:t xml:space="preserve">Signature of Requesting Officer in Hiring Office:</w:t>
            </w:r>
          </w:p>
          <w:p w:rsidR="00000000" w:rsidDel="00000000" w:rsidP="00000000" w:rsidRDefault="00000000" w:rsidRPr="00000000" w14:paraId="0000006B">
            <w:pPr>
              <w:tabs>
                <w:tab w:val="left" w:leader="none" w:pos="-720"/>
              </w:tabs>
              <w:spacing w:line="240" w:lineRule="auto"/>
              <w:jc w:val="both"/>
              <w:rPr/>
            </w:pPr>
            <w:r w:rsidDel="00000000" w:rsidR="00000000" w:rsidRPr="00000000">
              <w:rPr>
                <w:rtl w:val="0"/>
              </w:rPr>
            </w:r>
          </w:p>
          <w:p w:rsidR="00000000" w:rsidDel="00000000" w:rsidP="00000000" w:rsidRDefault="00000000" w:rsidRPr="00000000" w14:paraId="0000006C">
            <w:pPr>
              <w:tabs>
                <w:tab w:val="left" w:leader="none" w:pos="-720"/>
              </w:tabs>
              <w:spacing w:line="240" w:lineRule="auto"/>
              <w:jc w:val="both"/>
              <w:rPr/>
            </w:pPr>
            <w:r w:rsidDel="00000000" w:rsidR="00000000" w:rsidRPr="00000000">
              <w:rPr>
                <w:rtl w:val="0"/>
              </w:rPr>
              <w:t xml:space="preserve">Date:</w:t>
            </w:r>
          </w:p>
          <w:p w:rsidR="00000000" w:rsidDel="00000000" w:rsidP="00000000" w:rsidRDefault="00000000" w:rsidRPr="00000000" w14:paraId="0000006D">
            <w:pPr>
              <w:tabs>
                <w:tab w:val="left" w:leader="none" w:pos="-720"/>
              </w:tabs>
              <w:spacing w:line="240" w:lineRule="auto"/>
              <w:jc w:val="both"/>
              <w:rPr/>
            </w:pPr>
            <w:r w:rsidDel="00000000" w:rsidR="00000000" w:rsidRPr="00000000">
              <w:rPr>
                <w:rtl w:val="0"/>
              </w:rPr>
            </w:r>
          </w:p>
        </w:tc>
      </w:tr>
    </w:tbl>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Procedures for Submission</w:t>
      </w:r>
    </w:p>
    <w:p w:rsidR="00000000" w:rsidDel="00000000" w:rsidP="00000000" w:rsidRDefault="00000000" w:rsidRPr="00000000" w14:paraId="00000071">
      <w:pPr>
        <w:jc w:val="both"/>
        <w:rPr/>
      </w:pPr>
      <w:r w:rsidDel="00000000" w:rsidR="00000000" w:rsidRPr="00000000">
        <w:rPr>
          <w:rtl w:val="0"/>
        </w:rPr>
        <w:t xml:space="preserve">Interested local consultants should submit (by mail) their CV to  mmathe@unfpa.org</w:t>
      </w:r>
    </w:p>
    <w:p w:rsidR="00000000" w:rsidDel="00000000" w:rsidP="00000000" w:rsidRDefault="00000000" w:rsidRPr="00000000" w14:paraId="00000072">
      <w:pPr>
        <w:jc w:val="both"/>
        <w:rPr/>
      </w:pPr>
      <w:r w:rsidDel="00000000" w:rsidR="00000000" w:rsidRPr="00000000">
        <w:rPr>
          <w:rtl w:val="0"/>
        </w:rPr>
        <w:t xml:space="preserve">by the 16 September 2024</w:t>
      </w:r>
    </w:p>
    <w:p w:rsidR="00000000" w:rsidDel="00000000" w:rsidP="00000000" w:rsidRDefault="00000000" w:rsidRPr="00000000" w14:paraId="00000073">
      <w:pPr>
        <w:jc w:val="both"/>
        <w:rPr/>
      </w:pPr>
      <w:r w:rsidDel="00000000" w:rsidR="00000000" w:rsidRPr="00000000">
        <w:rPr>
          <w:rtl w:val="0"/>
        </w:rPr>
        <w:t xml:space="preserve">For Further information visit UNFPA on </w:t>
      </w:r>
      <w:hyperlink r:id="rId8">
        <w:r w:rsidDel="00000000" w:rsidR="00000000" w:rsidRPr="00000000">
          <w:rPr>
            <w:color w:val="1155cc"/>
            <w:u w:val="single"/>
            <w:rtl w:val="0"/>
          </w:rPr>
          <w:t xml:space="preserve">http://lesotho.unfpa.org</w:t>
        </w:r>
      </w:hyperlink>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77.0" w:type="dxa"/>
        <w:bottom w:w="0.0" w:type="dxa"/>
        <w:right w:w="177.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lesotho.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